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E6AE6" w14:textId="77777777" w:rsidR="003873D1" w:rsidRPr="003873D1" w:rsidRDefault="003873D1" w:rsidP="003873D1">
      <w:r w:rsidRPr="003873D1">
        <w:rPr>
          <w:b/>
          <w:bCs/>
        </w:rPr>
        <w:t>Title:</w:t>
      </w:r>
      <w:r w:rsidRPr="003873D1">
        <w:t> Establishing the First Standardized Clinical Practice Framework and Educational Roadmap for Oncological Hyperthermia in Romania: A Joint European Initiative</w:t>
      </w:r>
    </w:p>
    <w:p w14:paraId="1157C922" w14:textId="77777777" w:rsidR="003873D1" w:rsidRPr="003873D1" w:rsidRDefault="003873D1" w:rsidP="003873D1">
      <w:r w:rsidRPr="003873D1">
        <w:rPr>
          <w:b/>
          <w:bCs/>
        </w:rPr>
        <w:t>Authors:</w:t>
      </w:r>
      <w:r w:rsidRPr="003873D1">
        <w:t> C. Gologan (1), V. Iatan (1,2), C. Munteanu (1,3,4), V. Vlaescu (1), D. Damboiu (1,5), H. Sahinbas (6,1), G. Fiorentini (7,1), G. Cristina (7), M. Bonucci (8)</w:t>
      </w:r>
    </w:p>
    <w:p w14:paraId="6FCBCD14" w14:textId="77777777" w:rsidR="003873D1" w:rsidRPr="003873D1" w:rsidRDefault="003873D1" w:rsidP="003873D1">
      <w:r w:rsidRPr="003873D1">
        <w:rPr>
          <w:b/>
          <w:bCs/>
        </w:rPr>
        <w:t>Affiliations:</w:t>
      </w:r>
      <w:r w:rsidRPr="003873D1">
        <w:t> (1) SRHO, Romania; (2) Imunomedica Provita Hospital, Bucharest; (3) Bioterra University, Bucharest; (4) Sanity Medical-Pharmacy University, Bacau; (5) Mcare Hospital, Bucharest; (6) DGHT e.V., Germany; (7) SIIO, Italy; (8) ARTOI, Italy.</w:t>
      </w:r>
    </w:p>
    <w:p w14:paraId="78876D27" w14:textId="77777777" w:rsidR="003873D1" w:rsidRPr="003873D1" w:rsidRDefault="003873D1" w:rsidP="003873D1">
      <w:r w:rsidRPr="003873D1">
        <w:rPr>
          <w:b/>
          <w:bCs/>
        </w:rPr>
        <w:t>Introduction:</w:t>
      </w:r>
      <w:r w:rsidRPr="003873D1">
        <w:t> Oncological hyperthermia (HT) is an evidence-based clinical adjuvant enhancing the efficacy of radiotherapy, chemotherapy, and immunotherapy. Its clinical utility is well-documented in soft tissue sarcomas, cervical, recurrent breast, esophageal, and HNC, consistently improving OS, local control, and QoL. Despite Level 1A validation and theoretical alignment with ESMO-based national guidelines, practical implementation remains limited. A critical gap exists regarding dedicated post-graduate educational pathways, preventing effective clinical application.</w:t>
      </w:r>
    </w:p>
    <w:p w14:paraId="7E7358CA" w14:textId="77777777" w:rsidR="003873D1" w:rsidRPr="003873D1" w:rsidRDefault="003873D1" w:rsidP="003873D1">
      <w:r w:rsidRPr="003873D1">
        <w:rPr>
          <w:b/>
          <w:bCs/>
        </w:rPr>
        <w:t>Objectives:</w:t>
      </w:r>
      <w:r w:rsidRPr="003873D1">
        <w:t> This paper outlines the SRHO strategic mission to develop standardized clinical guidelines and a state-recognized post-graduate specialization curriculum.</w:t>
      </w:r>
    </w:p>
    <w:p w14:paraId="2A2245AE" w14:textId="77777777" w:rsidR="003873D1" w:rsidRPr="003873D1" w:rsidRDefault="003873D1" w:rsidP="003873D1">
      <w:r w:rsidRPr="003873D1">
        <w:rPr>
          <w:b/>
          <w:bCs/>
        </w:rPr>
        <w:t>Methods:</w:t>
      </w:r>
      <w:r w:rsidRPr="003873D1">
        <w:t> SRHO established a collaborative roadmap for safe HT integration within the Romanian network. Clinical standards and QA/QC protocols are aligned with ESHO and DGHT e.V. guidelines.</w:t>
      </w:r>
    </w:p>
    <w:p w14:paraId="7FD7E745" w14:textId="77777777" w:rsidR="003873D1" w:rsidRPr="003873D1" w:rsidRDefault="003873D1" w:rsidP="003873D1">
      <w:r w:rsidRPr="003873D1">
        <w:rPr>
          <w:b/>
          <w:bCs/>
        </w:rPr>
        <w:t>Results:</w:t>
      </w:r>
      <w:r w:rsidRPr="003873D1">
        <w:t> SRHO is developing a comprehensive 140-hour hybrid Continuing Medical Education (CME) curriculum. This modular program—hosted by Romanian medical universities—will certify multidisciplinary specialists (oncologists, surgeons, tumor board members), granting legal practice rights. Furthermore, clinical centers will participate in international multicenter activities, "HEAT-UP" as well as "HOT-HOPE" observational study (led by Dr. G. Cristina) to monitor and optimize patient QoL.</w:t>
      </w:r>
    </w:p>
    <w:p w14:paraId="18D031B6" w14:textId="77777777" w:rsidR="003873D1" w:rsidRPr="003873D1" w:rsidRDefault="003873D1" w:rsidP="003873D1">
      <w:r w:rsidRPr="003873D1">
        <w:rPr>
          <w:b/>
          <w:bCs/>
        </w:rPr>
        <w:t>Conclusions:</w:t>
      </w:r>
      <w:r w:rsidRPr="003873D1">
        <w:t> International collaboration is essential for establishing standardized, safe, and legally certified HT practices. By implementing this roadmap, hyperthermia will transition from isolated applications to an accessible, quality-assured standard of oncology care.</w:t>
      </w:r>
    </w:p>
    <w:p w14:paraId="060FDF79" w14:textId="77777777" w:rsidR="003873D1" w:rsidRPr="003873D1" w:rsidRDefault="003873D1" w:rsidP="003873D1">
      <w:r w:rsidRPr="003873D1">
        <w:rPr>
          <w:b/>
          <w:bCs/>
        </w:rPr>
        <w:t>Keywords:</w:t>
      </w:r>
      <w:r w:rsidRPr="003873D1">
        <w:t> Oncological Hyperthermia; Practice Standards; Quality Assurance; Medical Education; Immunotherapy Synergy; Quality of Life.</w:t>
      </w:r>
    </w:p>
    <w:p w14:paraId="4B26126D" w14:textId="77777777" w:rsidR="007339C7" w:rsidRDefault="007339C7"/>
    <w:sectPr w:rsidR="00733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EF"/>
    <w:rsid w:val="0021114A"/>
    <w:rsid w:val="002338BB"/>
    <w:rsid w:val="003304DD"/>
    <w:rsid w:val="003873D1"/>
    <w:rsid w:val="007339C7"/>
    <w:rsid w:val="009D56EF"/>
    <w:rsid w:val="00D9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A6EDE"/>
  <w15:chartTrackingRefBased/>
  <w15:docId w15:val="{8B5A0202-E6C6-4ABC-85F9-35EE1332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6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56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56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56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56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5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6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56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56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56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56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5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6EF"/>
    <w:rPr>
      <w:rFonts w:eastAsiaTheme="majorEastAsia" w:cstheme="majorBidi"/>
      <w:color w:val="272727" w:themeColor="text1" w:themeTint="D8"/>
    </w:rPr>
  </w:style>
  <w:style w:type="paragraph" w:styleId="Title">
    <w:name w:val="Title"/>
    <w:basedOn w:val="Normal"/>
    <w:next w:val="Normal"/>
    <w:link w:val="TitleChar"/>
    <w:uiPriority w:val="10"/>
    <w:qFormat/>
    <w:rsid w:val="009D5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6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6EF"/>
    <w:pPr>
      <w:spacing w:before="160"/>
      <w:jc w:val="center"/>
    </w:pPr>
    <w:rPr>
      <w:i/>
      <w:iCs/>
      <w:color w:val="404040" w:themeColor="text1" w:themeTint="BF"/>
    </w:rPr>
  </w:style>
  <w:style w:type="character" w:customStyle="1" w:styleId="QuoteChar">
    <w:name w:val="Quote Char"/>
    <w:basedOn w:val="DefaultParagraphFont"/>
    <w:link w:val="Quote"/>
    <w:uiPriority w:val="29"/>
    <w:rsid w:val="009D56EF"/>
    <w:rPr>
      <w:i/>
      <w:iCs/>
      <w:color w:val="404040" w:themeColor="text1" w:themeTint="BF"/>
    </w:rPr>
  </w:style>
  <w:style w:type="paragraph" w:styleId="ListParagraph">
    <w:name w:val="List Paragraph"/>
    <w:basedOn w:val="Normal"/>
    <w:uiPriority w:val="34"/>
    <w:qFormat/>
    <w:rsid w:val="009D56EF"/>
    <w:pPr>
      <w:ind w:left="720"/>
      <w:contextualSpacing/>
    </w:pPr>
  </w:style>
  <w:style w:type="character" w:styleId="IntenseEmphasis">
    <w:name w:val="Intense Emphasis"/>
    <w:basedOn w:val="DefaultParagraphFont"/>
    <w:uiPriority w:val="21"/>
    <w:qFormat/>
    <w:rsid w:val="009D56EF"/>
    <w:rPr>
      <w:i/>
      <w:iCs/>
      <w:color w:val="2F5496" w:themeColor="accent1" w:themeShade="BF"/>
    </w:rPr>
  </w:style>
  <w:style w:type="paragraph" w:styleId="IntenseQuote">
    <w:name w:val="Intense Quote"/>
    <w:basedOn w:val="Normal"/>
    <w:next w:val="Normal"/>
    <w:link w:val="IntenseQuoteChar"/>
    <w:uiPriority w:val="30"/>
    <w:qFormat/>
    <w:rsid w:val="009D56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56EF"/>
    <w:rPr>
      <w:i/>
      <w:iCs/>
      <w:color w:val="2F5496" w:themeColor="accent1" w:themeShade="BF"/>
    </w:rPr>
  </w:style>
  <w:style w:type="character" w:styleId="IntenseReference">
    <w:name w:val="Intense Reference"/>
    <w:basedOn w:val="DefaultParagraphFont"/>
    <w:uiPriority w:val="32"/>
    <w:qFormat/>
    <w:rsid w:val="009D56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 Gologan</dc:creator>
  <cp:keywords/>
  <dc:description/>
  <cp:lastModifiedBy>Iulian Gologan</cp:lastModifiedBy>
  <cp:revision>2</cp:revision>
  <dcterms:created xsi:type="dcterms:W3CDTF">2026-05-20T10:37:00Z</dcterms:created>
  <dcterms:modified xsi:type="dcterms:W3CDTF">2026-05-20T10:38:00Z</dcterms:modified>
</cp:coreProperties>
</file>