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453D8" w14:textId="03F84BAA" w:rsidR="00D024F9" w:rsidRPr="00B9134C" w:rsidRDefault="00D024F9" w:rsidP="00433847">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TITLE:</w:t>
      </w:r>
      <w:r w:rsidR="00433847" w:rsidRPr="00B9134C">
        <w:rPr>
          <w:rFonts w:ascii="Palatino Linotype" w:eastAsia="PalatinoLinotype" w:hAnsi="Palatino Linotype" w:cs="PalatinoLinotype"/>
          <w:kern w:val="0"/>
          <w:lang w:val="en-GB"/>
        </w:rPr>
        <w:t xml:space="preserve"> Radio-chemotherapy and Locoregional Hyperthermia: up to date 2026.</w:t>
      </w:r>
    </w:p>
    <w:p w14:paraId="256DC2B9" w14:textId="77777777" w:rsidR="00401B7C" w:rsidRDefault="00433847" w:rsidP="005B4F35">
      <w:pPr>
        <w:autoSpaceDE w:val="0"/>
        <w:autoSpaceDN w:val="0"/>
        <w:adjustRightInd w:val="0"/>
        <w:spacing w:after="0" w:line="240" w:lineRule="auto"/>
        <w:jc w:val="both"/>
        <w:rPr>
          <w:rFonts w:ascii="Palatino Linotype" w:eastAsia="PalatinoLinotype" w:hAnsi="Palatino Linotype" w:cs="Arial"/>
          <w:kern w:val="0"/>
        </w:rPr>
      </w:pPr>
      <w:r w:rsidRPr="00B9134C">
        <w:rPr>
          <w:rFonts w:ascii="Palatino Linotype" w:eastAsia="PalatinoLinotype" w:hAnsi="Palatino Linotype" w:cs="PalatinoLinotype"/>
          <w:kern w:val="0"/>
        </w:rPr>
        <w:t xml:space="preserve">AUTHORS: </w:t>
      </w:r>
      <w:r w:rsidRPr="00B9134C">
        <w:rPr>
          <w:rFonts w:ascii="Palatino Linotype" w:eastAsia="PalatinoLinotype" w:hAnsi="Palatino Linotype" w:cs="Arial"/>
          <w:kern w:val="0"/>
        </w:rPr>
        <w:t xml:space="preserve">Giammaria Fiorentini </w:t>
      </w:r>
      <w:r w:rsidRPr="00B9134C">
        <w:rPr>
          <w:rFonts w:ascii="Palatino Linotype" w:eastAsia="PalatinoLinotype" w:hAnsi="Palatino Linotype" w:cs="Arial"/>
          <w:kern w:val="0"/>
          <w:vertAlign w:val="superscript"/>
        </w:rPr>
        <w:t>1</w:t>
      </w:r>
      <w:r w:rsidRPr="00B9134C">
        <w:rPr>
          <w:rFonts w:ascii="Palatino Linotype" w:eastAsia="PalatinoLinotype" w:hAnsi="Palatino Linotype" w:cs="Arial"/>
          <w:kern w:val="0"/>
        </w:rPr>
        <w:t xml:space="preserve">, Giuseppe Cristina </w:t>
      </w:r>
      <w:r w:rsidRPr="00B9134C">
        <w:rPr>
          <w:rFonts w:ascii="Palatino Linotype" w:eastAsia="PalatinoLinotype" w:hAnsi="Palatino Linotype" w:cs="Arial"/>
          <w:kern w:val="0"/>
          <w:vertAlign w:val="superscript"/>
        </w:rPr>
        <w:t>2</w:t>
      </w:r>
      <w:r w:rsidRPr="00B9134C">
        <w:rPr>
          <w:rFonts w:ascii="Palatino Linotype" w:eastAsia="PalatinoLinotype" w:hAnsi="Palatino Linotype" w:cs="Arial"/>
          <w:kern w:val="0"/>
        </w:rPr>
        <w:t>, Girolamo Ranie</w:t>
      </w:r>
      <w:r w:rsidR="00B9134C" w:rsidRPr="00B9134C">
        <w:rPr>
          <w:rFonts w:ascii="Palatino Linotype" w:eastAsia="PalatinoLinotype" w:hAnsi="Palatino Linotype" w:cs="Arial"/>
          <w:kern w:val="0"/>
        </w:rPr>
        <w:t xml:space="preserve">ri </w:t>
      </w:r>
      <w:r w:rsidRPr="00B9134C">
        <w:rPr>
          <w:rFonts w:ascii="Palatino Linotype" w:eastAsia="PalatinoLinotype" w:hAnsi="Palatino Linotype" w:cs="Arial"/>
          <w:kern w:val="0"/>
          <w:vertAlign w:val="superscript"/>
        </w:rPr>
        <w:t>3</w:t>
      </w:r>
      <w:r w:rsidRPr="00B9134C">
        <w:rPr>
          <w:rFonts w:ascii="Palatino Linotype" w:eastAsia="PalatinoLinotype" w:hAnsi="Palatino Linotype" w:cs="Arial"/>
          <w:kern w:val="0"/>
        </w:rPr>
        <w:t>,</w:t>
      </w:r>
    </w:p>
    <w:p w14:paraId="46EF1FFE" w14:textId="0F680AAA" w:rsidR="00D024F9" w:rsidRPr="00B9134C" w:rsidRDefault="00433847" w:rsidP="005B4F35">
      <w:pPr>
        <w:autoSpaceDE w:val="0"/>
        <w:autoSpaceDN w:val="0"/>
        <w:adjustRightInd w:val="0"/>
        <w:spacing w:after="0" w:line="240" w:lineRule="auto"/>
        <w:jc w:val="both"/>
        <w:rPr>
          <w:rFonts w:ascii="Palatino Linotype" w:eastAsia="PalatinoLinotype" w:hAnsi="Palatino Linotype" w:cs="Arial"/>
          <w:kern w:val="0"/>
        </w:rPr>
      </w:pPr>
      <w:r w:rsidRPr="00B9134C">
        <w:rPr>
          <w:rFonts w:ascii="Palatino Linotype" w:eastAsia="PalatinoLinotype" w:hAnsi="Palatino Linotype" w:cs="Arial"/>
          <w:kern w:val="0"/>
        </w:rPr>
        <w:t>Cristian</w:t>
      </w:r>
      <w:r w:rsidR="00B9134C" w:rsidRPr="00B9134C">
        <w:rPr>
          <w:rFonts w:ascii="Palatino Linotype" w:eastAsia="PalatinoLinotype" w:hAnsi="Palatino Linotype" w:cs="Arial"/>
          <w:kern w:val="0"/>
        </w:rPr>
        <w:t xml:space="preserve"> Gologan</w:t>
      </w:r>
      <w:r w:rsidRPr="00B9134C">
        <w:rPr>
          <w:rFonts w:ascii="Palatino Linotype" w:eastAsia="PalatinoLinotype" w:hAnsi="Palatino Linotype" w:cs="Arial"/>
          <w:kern w:val="0"/>
        </w:rPr>
        <w:t xml:space="preserve"> </w:t>
      </w:r>
      <w:r w:rsidRPr="00B9134C">
        <w:rPr>
          <w:rFonts w:ascii="Palatino Linotype" w:eastAsia="PalatinoLinotype" w:hAnsi="Palatino Linotype" w:cs="Arial"/>
          <w:kern w:val="0"/>
          <w:vertAlign w:val="superscript"/>
        </w:rPr>
        <w:t>4</w:t>
      </w:r>
      <w:r w:rsidRPr="00B9134C">
        <w:rPr>
          <w:rFonts w:ascii="Palatino Linotype" w:eastAsia="PalatinoLinotype" w:hAnsi="Palatino Linotype" w:cs="Arial"/>
          <w:kern w:val="0"/>
        </w:rPr>
        <w:t>, Veronica Iatan</w:t>
      </w:r>
      <w:r w:rsidR="00B9134C" w:rsidRPr="00B9134C">
        <w:rPr>
          <w:rFonts w:ascii="Palatino Linotype" w:eastAsia="PalatinoLinotype" w:hAnsi="Palatino Linotype" w:cs="Arial"/>
          <w:kern w:val="0"/>
        </w:rPr>
        <w:t xml:space="preserve"> </w:t>
      </w:r>
      <w:r w:rsidR="00B9134C" w:rsidRPr="00B9134C">
        <w:rPr>
          <w:rFonts w:ascii="Palatino Linotype" w:eastAsia="PalatinoLinotype" w:hAnsi="Palatino Linotype" w:cs="Arial"/>
          <w:kern w:val="0"/>
          <w:vertAlign w:val="superscript"/>
        </w:rPr>
        <w:t>4</w:t>
      </w:r>
      <w:r w:rsidRPr="00B9134C">
        <w:rPr>
          <w:rFonts w:ascii="Palatino Linotype" w:eastAsia="PalatinoLinotype" w:hAnsi="Palatino Linotype" w:cs="Arial"/>
          <w:kern w:val="0"/>
        </w:rPr>
        <w:t>, Massimo Bonucci</w:t>
      </w:r>
      <w:r w:rsidR="00B9134C" w:rsidRPr="00B9134C">
        <w:rPr>
          <w:rFonts w:ascii="Palatino Linotype" w:eastAsia="PalatinoLinotype" w:hAnsi="Palatino Linotype" w:cs="Arial"/>
          <w:kern w:val="0"/>
        </w:rPr>
        <w:t xml:space="preserve"> </w:t>
      </w:r>
      <w:r w:rsidR="00B9134C" w:rsidRPr="00B9134C">
        <w:rPr>
          <w:rFonts w:ascii="Palatino Linotype" w:eastAsia="PalatinoLinotype" w:hAnsi="Palatino Linotype" w:cs="Arial"/>
          <w:kern w:val="0"/>
          <w:vertAlign w:val="superscript"/>
        </w:rPr>
        <w:t>5</w:t>
      </w:r>
      <w:r w:rsidRPr="00B9134C">
        <w:rPr>
          <w:rFonts w:ascii="Palatino Linotype" w:eastAsia="PalatinoLinotype" w:hAnsi="Palatino Linotype" w:cs="Arial"/>
          <w:kern w:val="0"/>
        </w:rPr>
        <w:t>.</w:t>
      </w:r>
    </w:p>
    <w:p w14:paraId="57EB8413" w14:textId="77777777" w:rsidR="00B9134C" w:rsidRPr="00B9134C" w:rsidRDefault="00B9134C" w:rsidP="005B4F35">
      <w:pPr>
        <w:autoSpaceDE w:val="0"/>
        <w:autoSpaceDN w:val="0"/>
        <w:adjustRightInd w:val="0"/>
        <w:spacing w:after="0" w:line="240" w:lineRule="auto"/>
        <w:jc w:val="both"/>
        <w:rPr>
          <w:rFonts w:ascii="Palatino Linotype" w:eastAsia="PalatinoLinotype" w:hAnsi="Palatino Linotype" w:cs="Arial"/>
          <w:kern w:val="0"/>
        </w:rPr>
      </w:pPr>
    </w:p>
    <w:p w14:paraId="17487769" w14:textId="44ED3E22" w:rsidR="00B9134C" w:rsidRPr="00B9134C" w:rsidRDefault="00B9134C" w:rsidP="005B4F35">
      <w:pPr>
        <w:autoSpaceDE w:val="0"/>
        <w:autoSpaceDN w:val="0"/>
        <w:adjustRightInd w:val="0"/>
        <w:spacing w:after="0" w:line="240" w:lineRule="auto"/>
        <w:jc w:val="both"/>
        <w:rPr>
          <w:rFonts w:ascii="Palatino Linotype" w:eastAsia="PalatinoLinotype" w:hAnsi="Palatino Linotype" w:cs="Arial"/>
          <w:kern w:val="0"/>
        </w:rPr>
      </w:pPr>
      <w:r w:rsidRPr="00B9134C">
        <w:rPr>
          <w:rFonts w:ascii="Palatino Linotype" w:eastAsia="PalatinoLinotype" w:hAnsi="Palatino Linotype" w:cs="Arial"/>
          <w:kern w:val="0"/>
          <w:vertAlign w:val="superscript"/>
        </w:rPr>
        <w:t>1</w:t>
      </w:r>
      <w:r w:rsidRPr="00B9134C">
        <w:rPr>
          <w:rFonts w:ascii="Palatino Linotype" w:eastAsia="PalatinoLinotype" w:hAnsi="Palatino Linotype" w:cs="Arial"/>
          <w:kern w:val="0"/>
        </w:rPr>
        <w:t xml:space="preserve"> Società Italiana di Ipertermia Oncologica; </w:t>
      </w:r>
      <w:r w:rsidRPr="00B9134C">
        <w:rPr>
          <w:rFonts w:ascii="Palatino Linotype" w:eastAsia="PalatinoLinotype" w:hAnsi="Palatino Linotype" w:cs="Arial"/>
          <w:kern w:val="0"/>
          <w:vertAlign w:val="superscript"/>
        </w:rPr>
        <w:t>2</w:t>
      </w:r>
      <w:r w:rsidRPr="00B9134C">
        <w:rPr>
          <w:rFonts w:ascii="Palatino Linotype" w:eastAsia="PalatinoLinotype" w:hAnsi="Palatino Linotype" w:cs="Arial"/>
          <w:kern w:val="0"/>
        </w:rPr>
        <w:t xml:space="preserve"> </w:t>
      </w:r>
      <w:proofErr w:type="spellStart"/>
      <w:r w:rsidRPr="00B9134C">
        <w:rPr>
          <w:rFonts w:ascii="Palatino Linotype" w:eastAsia="PalatinoLinotype" w:hAnsi="Palatino Linotype" w:cs="Arial"/>
          <w:kern w:val="0"/>
        </w:rPr>
        <w:t>Complementary</w:t>
      </w:r>
      <w:proofErr w:type="spellEnd"/>
      <w:r w:rsidRPr="00B9134C">
        <w:rPr>
          <w:rFonts w:ascii="Palatino Linotype" w:eastAsia="PalatinoLinotype" w:hAnsi="Palatino Linotype" w:cs="Arial"/>
          <w:kern w:val="0"/>
        </w:rPr>
        <w:t xml:space="preserve"> Medicine Service, </w:t>
      </w:r>
      <w:proofErr w:type="spellStart"/>
      <w:r w:rsidRPr="00B9134C">
        <w:rPr>
          <w:rFonts w:ascii="Palatino Linotype" w:eastAsia="PalatinoLinotype" w:hAnsi="Palatino Linotype" w:cs="Arial"/>
          <w:kern w:val="0"/>
        </w:rPr>
        <w:t>District</w:t>
      </w:r>
      <w:proofErr w:type="spellEnd"/>
      <w:r w:rsidRPr="00B9134C">
        <w:rPr>
          <w:rFonts w:ascii="Palatino Linotype" w:eastAsia="PalatinoLinotype" w:hAnsi="Palatino Linotype" w:cs="Arial"/>
          <w:kern w:val="0"/>
        </w:rPr>
        <w:t xml:space="preserve"> Hospital</w:t>
      </w:r>
      <w:r w:rsidRPr="00B9134C">
        <w:rPr>
          <w:rFonts w:ascii="Palatino Linotype" w:eastAsia="PalatinoLinotype" w:hAnsi="Palatino Linotype" w:cs="Arial"/>
          <w:kern w:val="0"/>
        </w:rPr>
        <w:t xml:space="preserve">, </w:t>
      </w:r>
      <w:r w:rsidRPr="00B9134C">
        <w:rPr>
          <w:rFonts w:ascii="Palatino Linotype" w:eastAsia="PalatinoLinotype" w:hAnsi="Palatino Linotype" w:cs="Arial"/>
          <w:kern w:val="0"/>
        </w:rPr>
        <w:t>Merano, Italy;</w:t>
      </w:r>
      <w:r w:rsidRPr="00B9134C">
        <w:rPr>
          <w:rFonts w:ascii="Palatino Linotype" w:eastAsia="PalatinoLinotype" w:hAnsi="Palatino Linotype" w:cs="Arial"/>
          <w:kern w:val="0"/>
        </w:rPr>
        <w:t xml:space="preserve"> </w:t>
      </w:r>
      <w:r w:rsidRPr="00B9134C">
        <w:rPr>
          <w:rFonts w:ascii="Palatino Linotype" w:eastAsia="PalatinoLinotype" w:hAnsi="Palatino Linotype" w:cs="Arial"/>
          <w:kern w:val="0"/>
          <w:vertAlign w:val="superscript"/>
        </w:rPr>
        <w:t>3</w:t>
      </w:r>
      <w:r w:rsidRPr="00B9134C">
        <w:rPr>
          <w:rFonts w:ascii="Palatino Linotype" w:eastAsia="PalatinoLinotype" w:hAnsi="Palatino Linotype" w:cs="Arial"/>
          <w:kern w:val="0"/>
        </w:rPr>
        <w:t xml:space="preserve"> </w:t>
      </w:r>
      <w:proofErr w:type="spellStart"/>
      <w:r w:rsidRPr="00B9134C">
        <w:rPr>
          <w:rFonts w:ascii="Palatino Linotype" w:eastAsia="PalatinoLinotype" w:hAnsi="Palatino Linotype" w:cs="Arial"/>
          <w:kern w:val="0"/>
        </w:rPr>
        <w:t>Integrated</w:t>
      </w:r>
      <w:proofErr w:type="spellEnd"/>
      <w:r w:rsidRPr="00B9134C">
        <w:rPr>
          <w:rFonts w:ascii="Palatino Linotype" w:eastAsia="PalatinoLinotype" w:hAnsi="Palatino Linotype" w:cs="Arial"/>
          <w:kern w:val="0"/>
        </w:rPr>
        <w:t xml:space="preserve"> Oncology Unit, Istituto Tumori Giovanni Paolo II</w:t>
      </w:r>
      <w:r w:rsidRPr="00B9134C">
        <w:rPr>
          <w:rFonts w:ascii="Palatino Linotype" w:eastAsia="PalatinoLinotype" w:hAnsi="Palatino Linotype" w:cs="Arial"/>
          <w:kern w:val="0"/>
        </w:rPr>
        <w:t>,</w:t>
      </w:r>
      <w:r w:rsidRPr="00B9134C">
        <w:rPr>
          <w:rFonts w:ascii="Palatino Linotype" w:eastAsia="PalatinoLinotype" w:hAnsi="Palatino Linotype" w:cs="Arial"/>
          <w:kern w:val="0"/>
        </w:rPr>
        <w:t xml:space="preserve"> Bari, Italy;</w:t>
      </w:r>
      <w:r w:rsidRPr="00B9134C">
        <w:rPr>
          <w:rFonts w:ascii="Palatino Linotype" w:eastAsia="PalatinoLinotype" w:hAnsi="Palatino Linotype" w:cs="Arial"/>
          <w:kern w:val="0"/>
        </w:rPr>
        <w:t xml:space="preserve"> </w:t>
      </w:r>
      <w:r w:rsidRPr="00B9134C">
        <w:rPr>
          <w:rFonts w:ascii="Palatino Linotype" w:eastAsia="PalatinoLinotype" w:hAnsi="Palatino Linotype" w:cs="Arial"/>
          <w:kern w:val="0"/>
          <w:vertAlign w:val="superscript"/>
        </w:rPr>
        <w:t>4</w:t>
      </w:r>
      <w:r w:rsidRPr="00B9134C">
        <w:rPr>
          <w:rFonts w:ascii="Palatino Linotype" w:eastAsia="PalatinoLinotype" w:hAnsi="Palatino Linotype" w:cs="Arial"/>
          <w:kern w:val="0"/>
        </w:rPr>
        <w:t xml:space="preserve"> </w:t>
      </w:r>
      <w:proofErr w:type="spellStart"/>
      <w:r w:rsidRPr="00B9134C">
        <w:rPr>
          <w:rFonts w:ascii="Palatino Linotype" w:eastAsia="PalatinoLinotype" w:hAnsi="Palatino Linotype" w:cs="Arial"/>
          <w:kern w:val="0"/>
        </w:rPr>
        <w:t>Romanian</w:t>
      </w:r>
      <w:proofErr w:type="spellEnd"/>
      <w:r w:rsidRPr="00B9134C">
        <w:rPr>
          <w:rFonts w:ascii="Palatino Linotype" w:eastAsia="PalatinoLinotype" w:hAnsi="Palatino Linotype" w:cs="Arial"/>
          <w:kern w:val="0"/>
        </w:rPr>
        <w:t xml:space="preserve"> Society of </w:t>
      </w:r>
      <w:proofErr w:type="spellStart"/>
      <w:r w:rsidRPr="00B9134C">
        <w:rPr>
          <w:rFonts w:ascii="Palatino Linotype" w:eastAsia="PalatinoLinotype" w:hAnsi="Palatino Linotype" w:cs="Arial"/>
          <w:kern w:val="0"/>
        </w:rPr>
        <w:t>Hyperthermic</w:t>
      </w:r>
      <w:proofErr w:type="spellEnd"/>
      <w:r w:rsidRPr="00B9134C">
        <w:rPr>
          <w:rFonts w:ascii="Palatino Linotype" w:eastAsia="PalatinoLinotype" w:hAnsi="Palatino Linotype" w:cs="Arial"/>
          <w:kern w:val="0"/>
        </w:rPr>
        <w:t xml:space="preserve"> Oncology (SHRO), Bucarest; </w:t>
      </w:r>
      <w:r w:rsidRPr="00B9134C">
        <w:rPr>
          <w:rFonts w:ascii="Palatino Linotype" w:eastAsia="PalatinoLinotype" w:hAnsi="Palatino Linotype" w:cs="Arial"/>
          <w:kern w:val="0"/>
          <w:vertAlign w:val="superscript"/>
        </w:rPr>
        <w:t>5</w:t>
      </w:r>
      <w:r w:rsidRPr="00B9134C">
        <w:rPr>
          <w:rFonts w:ascii="Palatino Linotype" w:eastAsia="PalatinoLinotype" w:hAnsi="Palatino Linotype" w:cs="Arial"/>
          <w:kern w:val="0"/>
        </w:rPr>
        <w:t xml:space="preserve"> ARTOI, Rome.</w:t>
      </w:r>
    </w:p>
    <w:p w14:paraId="654821BA" w14:textId="77777777" w:rsidR="00D024F9" w:rsidRPr="00B9134C" w:rsidRDefault="00D024F9" w:rsidP="005B4F35">
      <w:pPr>
        <w:autoSpaceDE w:val="0"/>
        <w:autoSpaceDN w:val="0"/>
        <w:adjustRightInd w:val="0"/>
        <w:spacing w:after="0" w:line="240" w:lineRule="auto"/>
        <w:jc w:val="both"/>
        <w:rPr>
          <w:rFonts w:ascii="Palatino Linotype" w:eastAsia="PalatinoLinotype" w:hAnsi="Palatino Linotype" w:cs="PalatinoLinotype"/>
          <w:kern w:val="0"/>
        </w:rPr>
      </w:pPr>
    </w:p>
    <w:p w14:paraId="4315642A" w14:textId="78C34B77" w:rsidR="00D024F9" w:rsidRPr="00B9134C" w:rsidRDefault="004302B9" w:rsidP="00433847">
      <w:pPr>
        <w:autoSpaceDE w:val="0"/>
        <w:autoSpaceDN w:val="0"/>
        <w:adjustRightInd w:val="0"/>
        <w:spacing w:after="0" w:line="240" w:lineRule="auto"/>
        <w:jc w:val="both"/>
        <w:rPr>
          <w:rFonts w:ascii="Palatino Linotype" w:hAnsi="Palatino Linotype"/>
          <w:lang w:val="en-GB" w:eastAsia="it-IT"/>
        </w:rPr>
      </w:pPr>
      <w:r w:rsidRPr="00B9134C">
        <w:rPr>
          <w:rFonts w:ascii="Palatino Linotype" w:eastAsia="PalatinoLinotype" w:hAnsi="Palatino Linotype" w:cs="PalatinoLinotype"/>
          <w:kern w:val="0"/>
          <w:lang w:val="en-GB"/>
        </w:rPr>
        <w:t xml:space="preserve">INTRO: </w:t>
      </w:r>
      <w:r w:rsidR="005B4F35" w:rsidRPr="00B9134C">
        <w:rPr>
          <w:rFonts w:ascii="Palatino Linotype" w:eastAsia="PalatinoLinotype" w:hAnsi="Palatino Linotype" w:cs="PalatinoLinotype"/>
          <w:kern w:val="0"/>
          <w:lang w:val="en-GB"/>
        </w:rPr>
        <w:t xml:space="preserve">The applicability of </w:t>
      </w:r>
      <w:r w:rsidR="00433847" w:rsidRPr="00B9134C">
        <w:rPr>
          <w:rFonts w:ascii="Palatino Linotype" w:eastAsia="PalatinoLinotype" w:hAnsi="Palatino Linotype" w:cs="PalatinoLinotype"/>
          <w:kern w:val="0"/>
          <w:lang w:val="en-GB"/>
        </w:rPr>
        <w:t xml:space="preserve">Locoregional </w:t>
      </w:r>
      <w:r w:rsidR="00E836DF" w:rsidRPr="00B9134C">
        <w:rPr>
          <w:rFonts w:ascii="Palatino Linotype" w:eastAsia="PalatinoLinotype" w:hAnsi="Palatino Linotype" w:cs="PalatinoLinotype"/>
          <w:kern w:val="0"/>
          <w:lang w:val="en-GB"/>
        </w:rPr>
        <w:t>Hyperthermia (</w:t>
      </w:r>
      <w:r w:rsidR="005B4F35" w:rsidRPr="00B9134C">
        <w:rPr>
          <w:rFonts w:ascii="Palatino Linotype" w:eastAsia="PalatinoLinotype" w:hAnsi="Palatino Linotype" w:cs="PalatinoLinotype"/>
          <w:kern w:val="0"/>
          <w:lang w:val="en-GB"/>
        </w:rPr>
        <w:t>HT</w:t>
      </w:r>
      <w:r w:rsidR="00433847" w:rsidRPr="00B9134C">
        <w:rPr>
          <w:rFonts w:ascii="Palatino Linotype" w:eastAsia="PalatinoLinotype" w:hAnsi="Palatino Linotype" w:cs="PalatinoLinotype"/>
          <w:kern w:val="0"/>
          <w:lang w:val="en-GB"/>
        </w:rPr>
        <w:t>)</w:t>
      </w:r>
      <w:r w:rsidR="005B4F35" w:rsidRPr="00B9134C">
        <w:rPr>
          <w:rFonts w:ascii="Palatino Linotype" w:eastAsia="PalatinoLinotype" w:hAnsi="Palatino Linotype" w:cs="PalatinoLinotype"/>
          <w:kern w:val="0"/>
          <w:lang w:val="en-GB"/>
        </w:rPr>
        <w:t xml:space="preserve"> in the treatment and supportive care of </w:t>
      </w:r>
      <w:r w:rsidR="005B4F35" w:rsidRPr="00B9134C">
        <w:rPr>
          <w:rFonts w:ascii="Palatino Linotype" w:eastAsia="PalatinoLinotype" w:hAnsi="Palatino Linotype" w:cs="PalatinoLinotype"/>
          <w:kern w:val="0"/>
          <w:lang w:val="en-GB"/>
        </w:rPr>
        <w:t>tumours</w:t>
      </w:r>
      <w:r w:rsidR="005B4F35" w:rsidRPr="00B9134C">
        <w:rPr>
          <w:rFonts w:ascii="Palatino Linotype" w:eastAsia="PalatinoLinotype" w:hAnsi="Palatino Linotype" w:cs="PalatinoLinotype"/>
          <w:kern w:val="0"/>
          <w:lang w:val="en-GB"/>
        </w:rPr>
        <w:t xml:space="preserve"> </w:t>
      </w:r>
      <w:r w:rsidR="00D024F9" w:rsidRPr="00B9134C">
        <w:rPr>
          <w:rFonts w:ascii="Palatino Linotype" w:eastAsia="PalatinoLinotype" w:hAnsi="Palatino Linotype"/>
          <w:lang w:val="en-GB"/>
        </w:rPr>
        <w:t xml:space="preserve">has </w:t>
      </w:r>
      <w:proofErr w:type="gramStart"/>
      <w:r w:rsidR="00D024F9" w:rsidRPr="00B9134C">
        <w:rPr>
          <w:rFonts w:ascii="Palatino Linotype" w:eastAsia="PalatinoLinotype" w:hAnsi="Palatino Linotype"/>
          <w:lang w:val="en-GB"/>
        </w:rPr>
        <w:t>been discussed</w:t>
      </w:r>
      <w:proofErr w:type="gramEnd"/>
      <w:r w:rsidR="00D024F9" w:rsidRPr="00B9134C">
        <w:rPr>
          <w:rFonts w:ascii="Palatino Linotype" w:eastAsia="PalatinoLinotype" w:hAnsi="Palatino Linotype"/>
          <w:lang w:val="en-GB"/>
        </w:rPr>
        <w:t xml:space="preserve"> for </w:t>
      </w:r>
      <w:proofErr w:type="gramStart"/>
      <w:r w:rsidR="00D024F9" w:rsidRPr="00B9134C">
        <w:rPr>
          <w:rFonts w:ascii="Palatino Linotype" w:eastAsia="PalatinoLinotype" w:hAnsi="Palatino Linotype"/>
          <w:lang w:val="en-GB"/>
        </w:rPr>
        <w:t>many</w:t>
      </w:r>
      <w:proofErr w:type="gramEnd"/>
      <w:r w:rsidR="00D024F9" w:rsidRPr="00B9134C">
        <w:rPr>
          <w:rFonts w:ascii="Palatino Linotype" w:eastAsia="PalatinoLinotype" w:hAnsi="Palatino Linotype"/>
          <w:lang w:val="en-GB"/>
        </w:rPr>
        <w:t xml:space="preserve"> years. Hundreds of studies have shown that HT </w:t>
      </w:r>
      <w:proofErr w:type="gramStart"/>
      <w:r w:rsidR="00D024F9" w:rsidRPr="00B9134C">
        <w:rPr>
          <w:rFonts w:ascii="Palatino Linotype" w:eastAsia="PalatinoLinotype" w:hAnsi="Palatino Linotype"/>
          <w:lang w:val="en-GB"/>
        </w:rPr>
        <w:t>is well tolerated</w:t>
      </w:r>
      <w:proofErr w:type="gramEnd"/>
      <w:r w:rsidR="00D024F9" w:rsidRPr="00B9134C">
        <w:rPr>
          <w:rFonts w:ascii="Palatino Linotype" w:eastAsia="PalatinoLinotype" w:hAnsi="Palatino Linotype"/>
          <w:lang w:val="en-GB"/>
        </w:rPr>
        <w:t xml:space="preserve"> and feasible, and have highlighted its value in controlling malignant disease, improving treatment response, and, in </w:t>
      </w:r>
      <w:proofErr w:type="gramStart"/>
      <w:r w:rsidR="00D024F9" w:rsidRPr="00B9134C">
        <w:rPr>
          <w:rFonts w:ascii="Palatino Linotype" w:eastAsia="PalatinoLinotype" w:hAnsi="Palatino Linotype"/>
          <w:lang w:val="en-GB"/>
        </w:rPr>
        <w:t>some</w:t>
      </w:r>
      <w:proofErr w:type="gramEnd"/>
      <w:r w:rsidR="00D024F9" w:rsidRPr="00B9134C">
        <w:rPr>
          <w:rFonts w:ascii="Palatino Linotype" w:eastAsia="PalatinoLinotype" w:hAnsi="Palatino Linotype"/>
          <w:lang w:val="en-GB"/>
        </w:rPr>
        <w:t xml:space="preserve"> randomised controlled trials (RCTs), increasing OS. Nevertheless, HT has not </w:t>
      </w:r>
      <w:proofErr w:type="gramStart"/>
      <w:r w:rsidR="00D024F9" w:rsidRPr="00B9134C">
        <w:rPr>
          <w:rFonts w:ascii="Palatino Linotype" w:eastAsia="PalatinoLinotype" w:hAnsi="Palatino Linotype"/>
          <w:lang w:val="en-GB"/>
        </w:rPr>
        <w:t>been fully adopted</w:t>
      </w:r>
      <w:proofErr w:type="gramEnd"/>
      <w:r w:rsidR="00D024F9" w:rsidRPr="00B9134C">
        <w:rPr>
          <w:rFonts w:ascii="Palatino Linotype" w:eastAsia="PalatinoLinotype" w:hAnsi="Palatino Linotype"/>
          <w:lang w:val="en-GB"/>
        </w:rPr>
        <w:t xml:space="preserve"> as a standard treatment by radiation and medical oncologists because of the limited number of qualified hospitals, insufficient investment, and the growing availability of pharmacological treatments that are easier to administer to patients.</w:t>
      </w:r>
    </w:p>
    <w:p w14:paraId="42602ED5" w14:textId="302C2A2B" w:rsidR="004302B9" w:rsidRPr="00B9134C" w:rsidRDefault="004302B9" w:rsidP="005B4F35">
      <w:pPr>
        <w:spacing w:after="0" w:line="240" w:lineRule="auto"/>
        <w:jc w:val="both"/>
        <w:rPr>
          <w:rFonts w:ascii="Palatino Linotype" w:eastAsia="PalatinoLinotype" w:hAnsi="Palatino Linotype"/>
          <w:lang w:val="en-GB"/>
        </w:rPr>
      </w:pPr>
      <w:r w:rsidRPr="00B9134C">
        <w:rPr>
          <w:rFonts w:ascii="Palatino Linotype" w:eastAsia="PalatinoLinotype" w:hAnsi="Palatino Linotype"/>
          <w:lang w:val="en-GB"/>
        </w:rPr>
        <w:t>OBIECTIVE: We reported, with narrative methods,</w:t>
      </w:r>
      <w:r w:rsidR="005B4F35" w:rsidRPr="00B9134C">
        <w:rPr>
          <w:rFonts w:ascii="Palatino Linotype" w:eastAsia="PalatinoLinotype" w:hAnsi="Palatino Linotype"/>
          <w:lang w:val="en-GB"/>
        </w:rPr>
        <w:t xml:space="preserve"> studies </w:t>
      </w:r>
      <w:r w:rsidRPr="00B9134C">
        <w:rPr>
          <w:rFonts w:ascii="Palatino Linotype" w:eastAsia="PalatinoLinotype" w:hAnsi="Palatino Linotype"/>
          <w:lang w:val="en-GB"/>
        </w:rPr>
        <w:t>showing</w:t>
      </w:r>
      <w:r w:rsidR="005B4F35" w:rsidRPr="00B9134C">
        <w:rPr>
          <w:rFonts w:ascii="Palatino Linotype" w:eastAsia="PalatinoLinotype" w:hAnsi="Palatino Linotype"/>
          <w:lang w:val="en-GB"/>
        </w:rPr>
        <w:t xml:space="preserve"> that HT enhances the effects of chemotherapy (CHT), radiotherapy (RT), chemoradiotherapy (CRT), and immunotherapy, thereby promoting programmed cell death. </w:t>
      </w:r>
    </w:p>
    <w:p w14:paraId="52F99A59" w14:textId="77777777" w:rsidR="004302B9" w:rsidRPr="00B9134C" w:rsidRDefault="004302B9" w:rsidP="004302B9">
      <w:pPr>
        <w:spacing w:after="0" w:line="240" w:lineRule="auto"/>
        <w:jc w:val="both"/>
        <w:rPr>
          <w:rFonts w:ascii="Palatino Linotype" w:eastAsia="PalatinoLinotype" w:hAnsi="Palatino Linotype" w:cs="PalatinoLinotype"/>
          <w:kern w:val="0"/>
          <w:lang w:val="en-GB"/>
        </w:rPr>
      </w:pPr>
      <w:r w:rsidRPr="00B9134C">
        <w:rPr>
          <w:rFonts w:ascii="Palatino Linotype" w:eastAsia="PalatinoLinotype" w:hAnsi="Palatino Linotype"/>
          <w:lang w:val="en-GB"/>
        </w:rPr>
        <w:t xml:space="preserve">METHODS: These effects have </w:t>
      </w:r>
      <w:proofErr w:type="gramStart"/>
      <w:r w:rsidRPr="00B9134C">
        <w:rPr>
          <w:rFonts w:ascii="Palatino Linotype" w:eastAsia="PalatinoLinotype" w:hAnsi="Palatino Linotype"/>
          <w:lang w:val="en-GB"/>
        </w:rPr>
        <w:t>been reported</w:t>
      </w:r>
      <w:proofErr w:type="gramEnd"/>
      <w:r w:rsidRPr="00B9134C">
        <w:rPr>
          <w:rFonts w:ascii="Palatino Linotype" w:eastAsia="PalatinoLinotype" w:hAnsi="Palatino Linotype"/>
          <w:lang w:val="en-GB"/>
        </w:rPr>
        <w:t xml:space="preserve"> in soft tissue sarcoma; cervical, oesophageal, gastric, colorectal, pancreatic, breast, head and neck, and prostate cancers; and bone metastases. HT promotes cancer cell death through multiple mechanisms, acting on both the tumour microenvironment (TME) and cancer cells directly. Targeted HT raises the temperature of the primary tumour and surrounding tissues to 39–43 °C, making tumour cells more responsive to immune activity. HT can also stimulate immune responses in the TME by inducing heat shock proteins (HSPs), which further support immune activation and programmed cell death (PCD). In addition, HT can oxygenate hypoxic tumours, thereby facilitating RT-induced DNA damage in cancer cells. Current evidence suggests that combining HT with R</w:t>
      </w:r>
      <w:r w:rsidR="005B4F35" w:rsidRPr="00B9134C">
        <w:rPr>
          <w:rFonts w:ascii="Palatino Linotype" w:eastAsia="PalatinoLinotype" w:hAnsi="Palatino Linotype" w:cs="PalatinoLinotype"/>
          <w:kern w:val="0"/>
          <w:lang w:val="en-GB"/>
        </w:rPr>
        <w:t>T, CHT, and immunotherapy might lead to immune enhancement effects in the TME,</w:t>
      </w:r>
      <w:r w:rsidR="005B4F35" w:rsidRPr="00B9134C">
        <w:rPr>
          <w:rFonts w:ascii="Palatino Linotype" w:eastAsia="PalatinoLinotype" w:hAnsi="Palatino Linotype" w:cs="PalatinoLinotype"/>
          <w:kern w:val="0"/>
          <w:lang w:val="en-GB"/>
        </w:rPr>
        <w:t xml:space="preserve"> </w:t>
      </w:r>
      <w:r w:rsidR="005B4F35" w:rsidRPr="00B9134C">
        <w:rPr>
          <w:rFonts w:ascii="Palatino Linotype" w:eastAsia="PalatinoLinotype" w:hAnsi="Palatino Linotype" w:cs="PalatinoLinotype"/>
          <w:kern w:val="0"/>
          <w:lang w:val="en-GB"/>
        </w:rPr>
        <w:t>making cancer cells more responsive to immunotherapies</w:t>
      </w:r>
      <w:r w:rsidRPr="00B9134C">
        <w:rPr>
          <w:rFonts w:ascii="Palatino Linotype" w:eastAsia="PalatinoLinotype" w:hAnsi="Palatino Linotype" w:cs="PalatinoLinotype"/>
          <w:kern w:val="0"/>
          <w:lang w:val="en-GB"/>
        </w:rPr>
        <w:t>.</w:t>
      </w:r>
    </w:p>
    <w:p w14:paraId="297F5460" w14:textId="666BCD5A" w:rsidR="00D024F9" w:rsidRPr="00B9134C" w:rsidRDefault="004302B9" w:rsidP="00D024F9">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RESULTS:</w:t>
      </w:r>
      <w:r w:rsidR="005B4F35" w:rsidRPr="00B9134C">
        <w:rPr>
          <w:rFonts w:ascii="Palatino Linotype" w:eastAsia="PalatinoLinotype" w:hAnsi="Palatino Linotype" w:cs="PalatinoLinotype"/>
          <w:kern w:val="0"/>
          <w:lang w:val="en-GB"/>
        </w:rPr>
        <w:t xml:space="preserve"> </w:t>
      </w:r>
      <w:proofErr w:type="gramStart"/>
      <w:r w:rsidR="00E836DF">
        <w:rPr>
          <w:rFonts w:ascii="Palatino Linotype" w:eastAsia="PalatinoLinotype" w:hAnsi="Palatino Linotype" w:cs="PalatinoLinotype"/>
          <w:kern w:val="0"/>
          <w:lang w:val="en-GB"/>
        </w:rPr>
        <w:t>Many</w:t>
      </w:r>
      <w:proofErr w:type="gramEnd"/>
      <w:r w:rsidR="00D024F9" w:rsidRPr="00B9134C">
        <w:rPr>
          <w:rFonts w:ascii="Palatino Linotype" w:eastAsia="PalatinoLinotype" w:hAnsi="Palatino Linotype" w:cs="PalatinoLinotype"/>
          <w:kern w:val="0"/>
          <w:lang w:val="en-GB"/>
        </w:rPr>
        <w:t xml:space="preserve"> studies reported worthy efficacy, feasibility, and safety of HT </w:t>
      </w:r>
    </w:p>
    <w:p w14:paraId="14D4ADAF" w14:textId="2DD605A0" w:rsidR="00D024F9" w:rsidRPr="00B9134C" w:rsidRDefault="00D024F9" w:rsidP="00D024F9">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 xml:space="preserve">concerning </w:t>
      </w:r>
      <w:r w:rsidRPr="00B9134C">
        <w:rPr>
          <w:rFonts w:ascii="Palatino Linotype" w:eastAsia="PalatinoLinotype" w:hAnsi="Palatino Linotype" w:cs="PalatinoLinotype"/>
          <w:kern w:val="0"/>
          <w:lang w:val="en-GB"/>
        </w:rPr>
        <w:t>tumour</w:t>
      </w:r>
      <w:r w:rsidRPr="00B9134C">
        <w:rPr>
          <w:rFonts w:ascii="Palatino Linotype" w:eastAsia="PalatinoLinotype" w:hAnsi="Palatino Linotype" w:cs="PalatinoLinotype"/>
          <w:kern w:val="0"/>
          <w:lang w:val="en-GB"/>
        </w:rPr>
        <w:t xml:space="preserve"> response, survival, and relapse-free improvements in </w:t>
      </w:r>
      <w:proofErr w:type="gramStart"/>
      <w:r w:rsidRPr="00B9134C">
        <w:rPr>
          <w:rFonts w:ascii="Palatino Linotype" w:eastAsia="PalatinoLinotype" w:hAnsi="Palatino Linotype" w:cs="PalatinoLinotype"/>
          <w:kern w:val="0"/>
          <w:lang w:val="en-GB"/>
        </w:rPr>
        <w:t>many</w:t>
      </w:r>
      <w:proofErr w:type="gramEnd"/>
      <w:r w:rsidRPr="00B9134C">
        <w:rPr>
          <w:rFonts w:ascii="Palatino Linotype" w:eastAsia="PalatinoLinotype" w:hAnsi="Palatino Linotype" w:cs="PalatinoLinotype"/>
          <w:kern w:val="0"/>
          <w:lang w:val="en-GB"/>
        </w:rPr>
        <w:t xml:space="preserve"> </w:t>
      </w:r>
      <w:r w:rsidRPr="00B9134C">
        <w:rPr>
          <w:rFonts w:ascii="Palatino Linotype" w:eastAsia="PalatinoLinotype" w:hAnsi="Palatino Linotype" w:cs="PalatinoLinotype"/>
          <w:kern w:val="0"/>
          <w:lang w:val="en-GB"/>
        </w:rPr>
        <w:t>tumour</w:t>
      </w:r>
    </w:p>
    <w:p w14:paraId="3E17DF00" w14:textId="77777777" w:rsidR="00D024F9" w:rsidRPr="00B9134C" w:rsidRDefault="00D024F9" w:rsidP="00D024F9">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types, such as sarcoma, head–neck, breast, cervical, and gastrointestinal cancers, and other</w:t>
      </w:r>
    </w:p>
    <w:p w14:paraId="34D2E754" w14:textId="5BFAC93D" w:rsidR="00D024F9" w:rsidRPr="00B9134C" w:rsidRDefault="00D024F9" w:rsidP="00D024F9">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 xml:space="preserve">malignancies. </w:t>
      </w:r>
      <w:r w:rsidRPr="00B9134C">
        <w:rPr>
          <w:rFonts w:ascii="Palatino Linotype" w:eastAsia="PalatinoLinotype" w:hAnsi="Palatino Linotype" w:cs="PalatinoLinotype"/>
          <w:kern w:val="0"/>
          <w:lang w:val="en-GB"/>
        </w:rPr>
        <w:t>HT improves</w:t>
      </w:r>
      <w:r w:rsidRPr="00B9134C">
        <w:rPr>
          <w:rFonts w:ascii="Palatino Linotype" w:eastAsia="PalatinoLinotype" w:hAnsi="Palatino Linotype" w:cs="PalatinoLinotype"/>
          <w:kern w:val="0"/>
          <w:lang w:val="en-GB"/>
        </w:rPr>
        <w:t xml:space="preserve"> the benefits of CHT, RT, and CRT for the </w:t>
      </w:r>
      <w:proofErr w:type="gramStart"/>
      <w:r w:rsidR="00E836DF" w:rsidRPr="00B9134C">
        <w:rPr>
          <w:rFonts w:ascii="Palatino Linotype" w:eastAsia="PalatinoLinotype" w:hAnsi="Palatino Linotype" w:cs="PalatinoLinotype"/>
          <w:kern w:val="0"/>
          <w:lang w:val="en-GB"/>
        </w:rPr>
        <w:t>treatment</w:t>
      </w:r>
      <w:proofErr w:type="gramEnd"/>
    </w:p>
    <w:p w14:paraId="5118F224" w14:textId="77777777" w:rsidR="00D024F9" w:rsidRPr="00B9134C" w:rsidRDefault="00D024F9" w:rsidP="00D024F9">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 xml:space="preserve">of recurrent disease, resulting in better outcomes and low-grade toxicity. </w:t>
      </w:r>
    </w:p>
    <w:p w14:paraId="4198EC6F" w14:textId="29474A98" w:rsidR="005B4F35" w:rsidRPr="00B9134C" w:rsidRDefault="00D024F9" w:rsidP="00D024F9">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
          <w:kern w:val="0"/>
          <w:lang w:val="en-GB"/>
        </w:rPr>
        <w:t>CONCLUSION: To</w:t>
      </w:r>
      <w:r w:rsidRPr="00B9134C">
        <w:rPr>
          <w:rFonts w:ascii="Palatino Linotype" w:eastAsia="PalatinoLinotype" w:hAnsi="Palatino Linotype" w:cs="PalatinoLinotype"/>
          <w:kern w:val="0"/>
          <w:lang w:val="en-GB"/>
        </w:rPr>
        <w:t xml:space="preserve"> make</w:t>
      </w:r>
      <w:r w:rsidRPr="00B9134C">
        <w:rPr>
          <w:rFonts w:ascii="Palatino Linotype" w:eastAsia="PalatinoLinotype" w:hAnsi="Palatino Linotype" w:cs="PalatinoLinotype"/>
          <w:kern w:val="0"/>
          <w:lang w:val="en-GB"/>
        </w:rPr>
        <w:t xml:space="preserve"> </w:t>
      </w:r>
      <w:r w:rsidRPr="00B9134C">
        <w:rPr>
          <w:rFonts w:ascii="Palatino Linotype" w:eastAsia="PalatinoLinotype" w:hAnsi="Palatino Linotype" w:cs="PalatinoLinotype"/>
          <w:kern w:val="0"/>
          <w:lang w:val="en-GB"/>
        </w:rPr>
        <w:t>regional HT credible and disseminate it worldwide, it is essential that the thermal dose</w:t>
      </w:r>
      <w:r w:rsidRPr="00B9134C">
        <w:rPr>
          <w:rFonts w:ascii="Palatino Linotype" w:eastAsia="PalatinoLinotype" w:hAnsi="Palatino Linotype" w:cs="PalatinoLinotype"/>
          <w:kern w:val="0"/>
          <w:lang w:val="en-GB"/>
        </w:rPr>
        <w:t xml:space="preserve"> </w:t>
      </w:r>
      <w:r w:rsidRPr="00B9134C">
        <w:rPr>
          <w:rFonts w:ascii="Palatino Linotype" w:eastAsia="PalatinoLinotype" w:hAnsi="Palatino Linotype" w:cs="PalatinoLinotype"/>
          <w:kern w:val="0"/>
          <w:lang w:val="en-GB"/>
        </w:rPr>
        <w:t xml:space="preserve">and its monitoring </w:t>
      </w:r>
      <w:proofErr w:type="gramStart"/>
      <w:r w:rsidRPr="00B9134C">
        <w:rPr>
          <w:rFonts w:ascii="Palatino Linotype" w:eastAsia="PalatinoLinotype" w:hAnsi="Palatino Linotype" w:cs="PalatinoLinotype"/>
          <w:kern w:val="0"/>
          <w:lang w:val="en-GB"/>
        </w:rPr>
        <w:t>are</w:t>
      </w:r>
      <w:r w:rsidR="00E836DF">
        <w:rPr>
          <w:rFonts w:ascii="Palatino Linotype" w:eastAsia="PalatinoLinotype" w:hAnsi="Palatino Linotype" w:cs="PalatinoLinotype"/>
          <w:kern w:val="0"/>
          <w:lang w:val="en-GB"/>
        </w:rPr>
        <w:t xml:space="preserve"> </w:t>
      </w:r>
      <w:r w:rsidRPr="00B9134C">
        <w:rPr>
          <w:rFonts w:ascii="Palatino Linotype" w:eastAsia="PalatinoLinotype" w:hAnsi="Palatino Linotype" w:cs="PalatinoLinotype"/>
          <w:kern w:val="0"/>
          <w:lang w:val="en-GB"/>
        </w:rPr>
        <w:t>defined</w:t>
      </w:r>
      <w:proofErr w:type="gramEnd"/>
      <w:r w:rsidRPr="00B9134C">
        <w:rPr>
          <w:rFonts w:ascii="Palatino Linotype" w:eastAsia="PalatinoLinotype" w:hAnsi="Palatino Linotype" w:cs="PalatinoLinotype"/>
          <w:kern w:val="0"/>
          <w:lang w:val="en-GB"/>
        </w:rPr>
        <w:t xml:space="preserve"> in every new study. Quality assurance</w:t>
      </w:r>
      <w:r w:rsidRPr="00B9134C">
        <w:rPr>
          <w:rFonts w:ascii="Palatino Linotype" w:eastAsia="PalatinoLinotype" w:hAnsi="Palatino Linotype" w:cs="PalatinoLinotype"/>
          <w:kern w:val="0"/>
          <w:lang w:val="en-GB"/>
        </w:rPr>
        <w:t xml:space="preserve"> </w:t>
      </w:r>
      <w:r w:rsidRPr="00B9134C">
        <w:rPr>
          <w:rFonts w:ascii="Palatino Linotype" w:eastAsia="PalatinoLinotype" w:hAnsi="Palatino Linotype" w:cs="PalatinoLinotype"/>
          <w:kern w:val="0"/>
          <w:lang w:val="en-GB"/>
        </w:rPr>
        <w:t>in the delivery and evaluation of HT treatment will allow for better defined and repeatable</w:t>
      </w:r>
      <w:r w:rsidRPr="00B9134C">
        <w:rPr>
          <w:rFonts w:ascii="Palatino Linotype" w:eastAsia="PalatinoLinotype" w:hAnsi="Palatino Linotype" w:cs="PalatinoLinotype"/>
          <w:kern w:val="0"/>
          <w:lang w:val="en-GB"/>
        </w:rPr>
        <w:t xml:space="preserve"> </w:t>
      </w:r>
      <w:r w:rsidRPr="00B9134C">
        <w:rPr>
          <w:rFonts w:ascii="Palatino Linotype" w:eastAsia="PalatinoLinotype" w:hAnsi="Palatino Linotype" w:cs="PalatinoLinotype"/>
          <w:kern w:val="0"/>
          <w:lang w:val="en-GB"/>
        </w:rPr>
        <w:t>clinical trials.</w:t>
      </w:r>
    </w:p>
    <w:p w14:paraId="6130B905" w14:textId="77777777" w:rsidR="005B4F35" w:rsidRPr="00B9134C" w:rsidRDefault="005B4F35" w:rsidP="005B4F35">
      <w:pPr>
        <w:autoSpaceDE w:val="0"/>
        <w:autoSpaceDN w:val="0"/>
        <w:adjustRightInd w:val="0"/>
        <w:spacing w:after="0" w:line="240" w:lineRule="auto"/>
        <w:rPr>
          <w:rFonts w:ascii="Palatino Linotype" w:eastAsia="PalatinoLinotype" w:hAnsi="Palatino Linotype" w:cs="PalatinoLinotype,Bold"/>
          <w:b/>
          <w:bCs/>
          <w:kern w:val="0"/>
          <w:lang w:val="en-GB"/>
        </w:rPr>
      </w:pPr>
    </w:p>
    <w:p w14:paraId="22B3420E" w14:textId="19EEDF56" w:rsidR="005B4F35" w:rsidRPr="00B9134C" w:rsidRDefault="005B4F35" w:rsidP="005B4F35">
      <w:pPr>
        <w:autoSpaceDE w:val="0"/>
        <w:autoSpaceDN w:val="0"/>
        <w:adjustRightInd w:val="0"/>
        <w:spacing w:after="0" w:line="240" w:lineRule="auto"/>
        <w:rPr>
          <w:rFonts w:ascii="Palatino Linotype" w:eastAsia="PalatinoLinotype" w:hAnsi="Palatino Linotype" w:cs="PalatinoLinotype"/>
          <w:kern w:val="0"/>
          <w:lang w:val="en-GB"/>
        </w:rPr>
      </w:pPr>
      <w:r w:rsidRPr="00B9134C">
        <w:rPr>
          <w:rFonts w:ascii="Palatino Linotype" w:eastAsia="PalatinoLinotype" w:hAnsi="Palatino Linotype" w:cs="PalatinoLinotype,Bold"/>
          <w:b/>
          <w:bCs/>
          <w:kern w:val="0"/>
          <w:lang w:val="en-GB"/>
        </w:rPr>
        <w:t xml:space="preserve">Keywords: </w:t>
      </w:r>
      <w:r w:rsidRPr="00B9134C">
        <w:rPr>
          <w:rFonts w:ascii="Palatino Linotype" w:eastAsia="PalatinoLinotype" w:hAnsi="Palatino Linotype" w:cs="PalatinoLinotype"/>
          <w:kern w:val="0"/>
          <w:lang w:val="en-GB"/>
        </w:rPr>
        <w:t xml:space="preserve">locoregional hyperthermia; immunotherapy; chemotherapy; </w:t>
      </w:r>
      <w:r w:rsidRPr="00B9134C">
        <w:rPr>
          <w:rFonts w:ascii="Palatino Linotype" w:eastAsia="PalatinoLinotype" w:hAnsi="Palatino Linotype" w:cs="PalatinoLinotype"/>
          <w:kern w:val="0"/>
          <w:lang w:val="en-GB"/>
        </w:rPr>
        <w:t>radiotherapy,</w:t>
      </w:r>
    </w:p>
    <w:p w14:paraId="79633411" w14:textId="51F9E3DC" w:rsidR="005B4F35" w:rsidRPr="005B4F35" w:rsidRDefault="005B4F35" w:rsidP="005B4F35">
      <w:pPr>
        <w:rPr>
          <w:lang w:val="en-GB"/>
        </w:rPr>
      </w:pPr>
      <w:r w:rsidRPr="00B9134C">
        <w:rPr>
          <w:rFonts w:ascii="Palatino Linotype" w:eastAsia="PalatinoLinotype" w:hAnsi="Palatino Linotype" w:cs="PalatinoLinotype"/>
          <w:kern w:val="0"/>
          <w:lang w:val="en-GB"/>
        </w:rPr>
        <w:t>adjunctive hyperthermia; cancer treatment; palliative hyperthermia</w:t>
      </w:r>
    </w:p>
    <w:sectPr w:rsidR="005B4F35" w:rsidRPr="005B4F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Linotype">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alatinoLinotype,Bold">
    <w:altName w:val="Palatino Linotype"/>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35"/>
    <w:rsid w:val="000D0947"/>
    <w:rsid w:val="00277902"/>
    <w:rsid w:val="00401B7C"/>
    <w:rsid w:val="00403E8E"/>
    <w:rsid w:val="004302B9"/>
    <w:rsid w:val="00433847"/>
    <w:rsid w:val="004752BB"/>
    <w:rsid w:val="005B4F35"/>
    <w:rsid w:val="00B9134C"/>
    <w:rsid w:val="00D024F9"/>
    <w:rsid w:val="00E836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4115"/>
  <w15:chartTrackingRefBased/>
  <w15:docId w15:val="{86651F92-7458-4BCC-8EA7-14DC65F3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0947"/>
  </w:style>
  <w:style w:type="paragraph" w:styleId="Titolo1">
    <w:name w:val="heading 1"/>
    <w:basedOn w:val="Normale"/>
    <w:next w:val="Normale"/>
    <w:link w:val="Titolo1Carattere"/>
    <w:uiPriority w:val="9"/>
    <w:qFormat/>
    <w:rsid w:val="005B4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B4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B4F3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B4F3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B4F3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B4F3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B4F3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B4F3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B4F3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F3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B4F3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B4F3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B4F3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B4F3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B4F3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B4F3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B4F3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B4F3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B4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B4F3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B4F3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B4F3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B4F3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B4F35"/>
    <w:rPr>
      <w:i/>
      <w:iCs/>
      <w:color w:val="404040" w:themeColor="text1" w:themeTint="BF"/>
    </w:rPr>
  </w:style>
  <w:style w:type="paragraph" w:styleId="Paragrafoelenco">
    <w:name w:val="List Paragraph"/>
    <w:basedOn w:val="Normale"/>
    <w:uiPriority w:val="34"/>
    <w:qFormat/>
    <w:rsid w:val="005B4F35"/>
    <w:pPr>
      <w:ind w:left="720"/>
      <w:contextualSpacing/>
    </w:pPr>
  </w:style>
  <w:style w:type="character" w:styleId="Enfasiintensa">
    <w:name w:val="Intense Emphasis"/>
    <w:basedOn w:val="Carpredefinitoparagrafo"/>
    <w:uiPriority w:val="21"/>
    <w:qFormat/>
    <w:rsid w:val="005B4F35"/>
    <w:rPr>
      <w:i/>
      <w:iCs/>
      <w:color w:val="0F4761" w:themeColor="accent1" w:themeShade="BF"/>
    </w:rPr>
  </w:style>
  <w:style w:type="paragraph" w:styleId="Citazioneintensa">
    <w:name w:val="Intense Quote"/>
    <w:basedOn w:val="Normale"/>
    <w:next w:val="Normale"/>
    <w:link w:val="CitazioneintensaCarattere"/>
    <w:uiPriority w:val="30"/>
    <w:qFormat/>
    <w:rsid w:val="005B4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B4F35"/>
    <w:rPr>
      <w:i/>
      <w:iCs/>
      <w:color w:val="0F4761" w:themeColor="accent1" w:themeShade="BF"/>
    </w:rPr>
  </w:style>
  <w:style w:type="character" w:styleId="Riferimentointenso">
    <w:name w:val="Intense Reference"/>
    <w:basedOn w:val="Carpredefinitoparagrafo"/>
    <w:uiPriority w:val="32"/>
    <w:qFormat/>
    <w:rsid w:val="005B4F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87644-BDC6-4843-B0C4-49CBE1395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443</Words>
  <Characters>2681</Characters>
  <Application>Microsoft Office Word</Application>
  <DocSecurity>0</DocSecurity>
  <Lines>38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naccari</dc:creator>
  <cp:keywords/>
  <dc:description/>
  <cp:lastModifiedBy>franca naccari</cp:lastModifiedBy>
  <cp:revision>2</cp:revision>
  <dcterms:created xsi:type="dcterms:W3CDTF">2026-05-19T08:31:00Z</dcterms:created>
  <dcterms:modified xsi:type="dcterms:W3CDTF">2026-05-19T08:31:00Z</dcterms:modified>
</cp:coreProperties>
</file>